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CA" w:rsidRDefault="004974CA" w:rsidP="004974CA">
      <w:pPr>
        <w:pStyle w:val="Table-Heading"/>
      </w:pPr>
      <w:bookmarkStart w:id="0" w:name="_GoBack"/>
      <w:bookmarkEnd w:id="0"/>
    </w:p>
    <w:p w:rsidR="004974CA" w:rsidRPr="00FA194A" w:rsidRDefault="004974CA" w:rsidP="004974CA">
      <w:pPr>
        <w:pStyle w:val="Table-Heading"/>
      </w:pPr>
      <w:r>
        <w:t>Table 3.1</w:t>
      </w:r>
      <w:r>
        <w:tab/>
      </w:r>
      <w:r w:rsidRPr="00FA194A">
        <w:t xml:space="preserve">Licensed and Historical Abstraction Quantities of </w:t>
      </w:r>
      <w:r>
        <w:t>M</w:t>
      </w:r>
      <w:r w:rsidRPr="00FA194A">
        <w:t xml:space="preserve">ain </w:t>
      </w:r>
      <w:r>
        <w:t>L</w:t>
      </w:r>
      <w:r w:rsidRPr="00FA194A">
        <w:t>icensed</w:t>
      </w:r>
      <w:r>
        <w:t xml:space="preserve"> A</w:t>
      </w:r>
      <w:r w:rsidRPr="00FA194A">
        <w:t>bstractions affecting the Area of Interest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1194"/>
        <w:gridCol w:w="1195"/>
        <w:gridCol w:w="1645"/>
        <w:gridCol w:w="1645"/>
        <w:gridCol w:w="1645"/>
        <w:gridCol w:w="302"/>
        <w:gridCol w:w="2393"/>
        <w:gridCol w:w="2541"/>
      </w:tblGrid>
      <w:tr w:rsidR="004974CA" w:rsidTr="00287C42">
        <w:tc>
          <w:tcPr>
            <w:tcW w:w="670" w:type="pct"/>
            <w:vMerge w:val="restart"/>
            <w:tcBorders>
              <w:top w:val="single" w:sz="4" w:space="0" w:color="auto"/>
            </w:tcBorders>
          </w:tcPr>
          <w:p w:rsidR="004974CA" w:rsidRPr="00D636E9" w:rsidRDefault="004974CA" w:rsidP="00287C42">
            <w:pPr>
              <w:pStyle w:val="Table-Heading"/>
              <w:spacing w:after="120"/>
              <w:rPr>
                <w:b w:val="0"/>
                <w:sz w:val="20"/>
              </w:rPr>
            </w:pPr>
            <w:r>
              <w:t>Abstractor</w:t>
            </w:r>
          </w:p>
        </w:tc>
        <w:tc>
          <w:tcPr>
            <w:tcW w:w="4330" w:type="pct"/>
            <w:gridSpan w:val="8"/>
            <w:tcBorders>
              <w:top w:val="single" w:sz="4" w:space="0" w:color="auto"/>
            </w:tcBorders>
          </w:tcPr>
          <w:p w:rsidR="004974CA" w:rsidRPr="00D636E9" w:rsidRDefault="004974CA" w:rsidP="00287C42">
            <w:pPr>
              <w:pStyle w:val="Table-Heading"/>
              <w:spacing w:after="120"/>
            </w:pPr>
            <w:r>
              <w:t>Levels of Abstraction (TCMA)</w:t>
            </w:r>
          </w:p>
        </w:tc>
      </w:tr>
      <w:tr w:rsidR="004974CA" w:rsidTr="00287C42">
        <w:trPr>
          <w:trHeight w:val="823"/>
        </w:trPr>
        <w:tc>
          <w:tcPr>
            <w:tcW w:w="670" w:type="pct"/>
            <w:vMerge/>
            <w:tcBorders>
              <w:bottom w:val="single" w:sz="4" w:space="0" w:color="auto"/>
            </w:tcBorders>
          </w:tcPr>
          <w:p w:rsidR="004974CA" w:rsidRPr="00D636E9" w:rsidRDefault="004974CA" w:rsidP="00287C42">
            <w:pPr>
              <w:pStyle w:val="Table-Heading"/>
            </w:pP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4974CA" w:rsidRPr="00D636E9" w:rsidRDefault="004974CA" w:rsidP="00287C42">
            <w:pPr>
              <w:pStyle w:val="Table-Heading"/>
              <w:spacing w:before="120"/>
            </w:pPr>
            <w:r>
              <w:t>1993 Historical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4974CA" w:rsidRPr="00D636E9" w:rsidRDefault="004974CA" w:rsidP="00287C42">
            <w:pPr>
              <w:pStyle w:val="Table-Heading"/>
              <w:spacing w:before="120"/>
            </w:pPr>
            <w:r>
              <w:t>2011 Historical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4974CA" w:rsidRPr="00D636E9" w:rsidRDefault="004974CA" w:rsidP="00287C42">
            <w:pPr>
              <w:pStyle w:val="Table-Heading"/>
              <w:spacing w:before="120"/>
            </w:pPr>
            <w:r>
              <w:t xml:space="preserve">Recent Actual Average </w:t>
            </w:r>
            <w:r>
              <w:br/>
              <w:t>2006 - 2010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4974CA" w:rsidRPr="00D636E9" w:rsidRDefault="004974CA" w:rsidP="00287C42">
            <w:pPr>
              <w:pStyle w:val="Table-Heading"/>
              <w:spacing w:before="120"/>
            </w:pPr>
            <w:r>
              <w:t>Pre-</w:t>
            </w:r>
            <w:proofErr w:type="spellStart"/>
            <w:r>
              <w:t>RoC</w:t>
            </w:r>
            <w:proofErr w:type="spellEnd"/>
            <w:r>
              <w:t xml:space="preserve"> Fully Licensed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4974CA" w:rsidRPr="00D636E9" w:rsidRDefault="004974CA" w:rsidP="00287C42">
            <w:pPr>
              <w:pStyle w:val="Table-Heading"/>
              <w:spacing w:before="120"/>
            </w:pPr>
            <w:r>
              <w:t>Current Fully Licensed</w:t>
            </w:r>
          </w:p>
        </w:tc>
        <w:tc>
          <w:tcPr>
            <w:tcW w:w="103" w:type="pct"/>
            <w:tcBorders>
              <w:bottom w:val="single" w:sz="4" w:space="0" w:color="auto"/>
            </w:tcBorders>
          </w:tcPr>
          <w:p w:rsidR="004974CA" w:rsidRPr="00D636E9" w:rsidRDefault="004974CA" w:rsidP="00287C42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4974CA" w:rsidRPr="00D636E9" w:rsidRDefault="004974CA" w:rsidP="00287C42">
            <w:pPr>
              <w:pStyle w:val="Table-Heading"/>
              <w:spacing w:before="120"/>
            </w:pPr>
            <w:r>
              <w:t>Recent Actual but with AWS at Current Fully Licensed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4974CA" w:rsidRPr="00D636E9" w:rsidRDefault="004974CA" w:rsidP="00287C42">
            <w:pPr>
              <w:pStyle w:val="Table-Heading"/>
              <w:spacing w:before="120"/>
            </w:pPr>
            <w:r>
              <w:t>Recent Actual but with AWS at April 2012 to March 2013 Actual</w:t>
            </w:r>
          </w:p>
        </w:tc>
      </w:tr>
      <w:tr w:rsidR="004974CA" w:rsidRPr="006F70C7" w:rsidTr="00287C42">
        <w:trPr>
          <w:trHeight w:val="156"/>
        </w:trPr>
        <w:tc>
          <w:tcPr>
            <w:tcW w:w="670" w:type="pct"/>
            <w:tcBorders>
              <w:top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AWS Ludham</w:t>
            </w:r>
          </w:p>
        </w:tc>
        <w:tc>
          <w:tcPr>
            <w:tcW w:w="412" w:type="pct"/>
            <w:tcBorders>
              <w:top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569.4</w:t>
            </w:r>
          </w:p>
        </w:tc>
        <w:tc>
          <w:tcPr>
            <w:tcW w:w="412" w:type="pct"/>
            <w:tcBorders>
              <w:top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540.2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563.7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680.0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512.0</w:t>
            </w:r>
          </w:p>
        </w:tc>
        <w:tc>
          <w:tcPr>
            <w:tcW w:w="103" w:type="pct"/>
            <w:vMerge w:val="restart"/>
            <w:tcBorders>
              <w:top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512.0</w:t>
            </w:r>
          </w:p>
        </w:tc>
        <w:tc>
          <w:tcPr>
            <w:tcW w:w="876" w:type="pct"/>
            <w:tcBorders>
              <w:top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408.3</w:t>
            </w:r>
          </w:p>
        </w:tc>
      </w:tr>
      <w:tr w:rsidR="004974CA" w:rsidRPr="006F70C7" w:rsidTr="00287C42">
        <w:trPr>
          <w:trHeight w:val="85"/>
        </w:trPr>
        <w:tc>
          <w:tcPr>
            <w:tcW w:w="670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Overton</w:t>
            </w:r>
          </w:p>
        </w:tc>
        <w:tc>
          <w:tcPr>
            <w:tcW w:w="412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0.0</w:t>
            </w:r>
          </w:p>
        </w:tc>
        <w:tc>
          <w:tcPr>
            <w:tcW w:w="412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12.8</w:t>
            </w:r>
          </w:p>
        </w:tc>
        <w:tc>
          <w:tcPr>
            <w:tcW w:w="567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14.6</w:t>
            </w:r>
          </w:p>
        </w:tc>
        <w:tc>
          <w:tcPr>
            <w:tcW w:w="567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72.7</w:t>
            </w:r>
          </w:p>
        </w:tc>
        <w:tc>
          <w:tcPr>
            <w:tcW w:w="567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54.5</w:t>
            </w:r>
          </w:p>
        </w:tc>
        <w:tc>
          <w:tcPr>
            <w:tcW w:w="103" w:type="pct"/>
            <w:vMerge/>
          </w:tcPr>
          <w:p w:rsidR="004974CA" w:rsidRPr="006F70C7" w:rsidRDefault="004974CA" w:rsidP="00287C42">
            <w:pPr>
              <w:pStyle w:val="Table-Contents"/>
            </w:pPr>
          </w:p>
        </w:tc>
        <w:tc>
          <w:tcPr>
            <w:tcW w:w="825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14.6</w:t>
            </w:r>
          </w:p>
        </w:tc>
        <w:tc>
          <w:tcPr>
            <w:tcW w:w="876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14.6</w:t>
            </w:r>
          </w:p>
        </w:tc>
      </w:tr>
      <w:tr w:rsidR="004974CA" w:rsidRPr="006F70C7" w:rsidTr="00287C42">
        <w:trPr>
          <w:trHeight w:val="63"/>
        </w:trPr>
        <w:tc>
          <w:tcPr>
            <w:tcW w:w="670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Alston Plumsgate Road</w:t>
            </w:r>
          </w:p>
        </w:tc>
        <w:tc>
          <w:tcPr>
            <w:tcW w:w="412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11.7</w:t>
            </w:r>
          </w:p>
        </w:tc>
        <w:tc>
          <w:tcPr>
            <w:tcW w:w="412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65.7</w:t>
            </w:r>
          </w:p>
        </w:tc>
        <w:tc>
          <w:tcPr>
            <w:tcW w:w="567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30.6</w:t>
            </w:r>
          </w:p>
        </w:tc>
        <w:tc>
          <w:tcPr>
            <w:tcW w:w="567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68.0</w:t>
            </w:r>
          </w:p>
        </w:tc>
        <w:tc>
          <w:tcPr>
            <w:tcW w:w="567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68.0</w:t>
            </w:r>
          </w:p>
        </w:tc>
        <w:tc>
          <w:tcPr>
            <w:tcW w:w="103" w:type="pct"/>
            <w:vMerge/>
          </w:tcPr>
          <w:p w:rsidR="004974CA" w:rsidRPr="006F70C7" w:rsidRDefault="004974CA" w:rsidP="00287C42">
            <w:pPr>
              <w:pStyle w:val="Table-Contents"/>
            </w:pPr>
          </w:p>
        </w:tc>
        <w:tc>
          <w:tcPr>
            <w:tcW w:w="825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30.6</w:t>
            </w:r>
          </w:p>
        </w:tc>
        <w:tc>
          <w:tcPr>
            <w:tcW w:w="876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30.6</w:t>
            </w:r>
          </w:p>
        </w:tc>
      </w:tr>
      <w:tr w:rsidR="004974CA" w:rsidRPr="006F70C7" w:rsidTr="00287C42">
        <w:trPr>
          <w:trHeight w:val="63"/>
        </w:trPr>
        <w:tc>
          <w:tcPr>
            <w:tcW w:w="670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Alston Ludham Road</w:t>
            </w:r>
          </w:p>
        </w:tc>
        <w:tc>
          <w:tcPr>
            <w:tcW w:w="412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11.7</w:t>
            </w:r>
          </w:p>
        </w:tc>
        <w:tc>
          <w:tcPr>
            <w:tcW w:w="412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21.9</w:t>
            </w:r>
          </w:p>
        </w:tc>
        <w:tc>
          <w:tcPr>
            <w:tcW w:w="567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18.9</w:t>
            </w:r>
          </w:p>
        </w:tc>
        <w:tc>
          <w:tcPr>
            <w:tcW w:w="567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22.7</w:t>
            </w:r>
          </w:p>
        </w:tc>
        <w:tc>
          <w:tcPr>
            <w:tcW w:w="567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22.7</w:t>
            </w:r>
          </w:p>
        </w:tc>
        <w:tc>
          <w:tcPr>
            <w:tcW w:w="103" w:type="pct"/>
            <w:vMerge/>
          </w:tcPr>
          <w:p w:rsidR="004974CA" w:rsidRPr="006F70C7" w:rsidRDefault="004974CA" w:rsidP="00287C42">
            <w:pPr>
              <w:pStyle w:val="Table-Contents"/>
            </w:pPr>
          </w:p>
        </w:tc>
        <w:tc>
          <w:tcPr>
            <w:tcW w:w="825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18.9</w:t>
            </w:r>
          </w:p>
        </w:tc>
        <w:tc>
          <w:tcPr>
            <w:tcW w:w="876" w:type="pct"/>
          </w:tcPr>
          <w:p w:rsidR="004974CA" w:rsidRPr="006F70C7" w:rsidRDefault="004974CA" w:rsidP="00287C42">
            <w:pPr>
              <w:pStyle w:val="Table-Contents"/>
            </w:pPr>
            <w:r w:rsidRPr="006F70C7">
              <w:t>18.9</w:t>
            </w:r>
          </w:p>
        </w:tc>
      </w:tr>
      <w:tr w:rsidR="004974CA" w:rsidRPr="006F70C7" w:rsidTr="00287C42">
        <w:trPr>
          <w:trHeight w:val="63"/>
        </w:trPr>
        <w:tc>
          <w:tcPr>
            <w:tcW w:w="670" w:type="pct"/>
            <w:tcBorders>
              <w:bottom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Total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592.8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640.6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627.8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>
              <w:t>843.4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657.2</w:t>
            </w:r>
          </w:p>
        </w:tc>
        <w:tc>
          <w:tcPr>
            <w:tcW w:w="103" w:type="pct"/>
            <w:vMerge/>
            <w:tcBorders>
              <w:bottom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576.1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472.4</w:t>
            </w:r>
          </w:p>
        </w:tc>
      </w:tr>
      <w:tr w:rsidR="004974CA" w:rsidRPr="006F70C7" w:rsidTr="00287C42">
        <w:trPr>
          <w:trHeight w:val="369"/>
        </w:trPr>
        <w:tc>
          <w:tcPr>
            <w:tcW w:w="3299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  <w:jc w:val="right"/>
            </w:pPr>
            <w:r w:rsidRPr="006F70C7">
              <w:t>Total as % of Recent Actual Total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91.8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:rsidR="004974CA" w:rsidRPr="006F70C7" w:rsidRDefault="004974CA" w:rsidP="00287C42">
            <w:pPr>
              <w:pStyle w:val="Table-Contents"/>
            </w:pPr>
            <w:r w:rsidRPr="006F70C7">
              <w:t>75.2</w:t>
            </w:r>
          </w:p>
        </w:tc>
      </w:tr>
    </w:tbl>
    <w:p w:rsidR="004974CA" w:rsidRDefault="004974CA" w:rsidP="004974CA">
      <w:pPr>
        <w:spacing w:after="0"/>
        <w:rPr>
          <w:sz w:val="20"/>
          <w:szCs w:val="20"/>
        </w:rPr>
      </w:pPr>
    </w:p>
    <w:p w:rsidR="007C5867" w:rsidRPr="00254CCB" w:rsidRDefault="007C5867" w:rsidP="0046502C">
      <w:pPr>
        <w:spacing w:after="0" w:line="240" w:lineRule="auto"/>
      </w:pPr>
    </w:p>
    <w:sectPr w:rsidR="007C5867" w:rsidRPr="00254CCB" w:rsidSect="004974CA">
      <w:headerReference w:type="default" r:id="rId6"/>
      <w:footerReference w:type="default" r:id="rId7"/>
      <w:pgSz w:w="16838" w:h="11906" w:orient="landscape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4CA" w:rsidRDefault="004974CA" w:rsidP="00A07F18">
      <w:pPr>
        <w:spacing w:after="0" w:line="240" w:lineRule="auto"/>
      </w:pPr>
      <w:r>
        <w:separator/>
      </w:r>
    </w:p>
  </w:endnote>
  <w:endnote w:type="continuationSeparator" w:id="0">
    <w:p w:rsidR="004974CA" w:rsidRDefault="004974CA" w:rsidP="00A0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18" w:rsidRDefault="0046502C" w:rsidP="00A07F18">
    <w:pPr>
      <w:spacing w:after="0" w:line="240" w:lineRule="auto"/>
      <w:jc w:val="center"/>
    </w:pPr>
    <w:r>
      <w:t>UNCLASSIFIED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4CA" w:rsidRDefault="004974CA" w:rsidP="00A07F18">
      <w:pPr>
        <w:spacing w:after="0" w:line="240" w:lineRule="auto"/>
      </w:pPr>
      <w:r>
        <w:separator/>
      </w:r>
    </w:p>
  </w:footnote>
  <w:footnote w:type="continuationSeparator" w:id="0">
    <w:p w:rsidR="004974CA" w:rsidRDefault="004974CA" w:rsidP="00A0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18" w:rsidRDefault="0046502C" w:rsidP="0046502C">
    <w:pPr>
      <w:spacing w:after="0" w:line="240" w:lineRule="auto"/>
      <w:jc w:val="center"/>
    </w:pPr>
    <w:r>
      <w:t>UNCLASSIFIED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44"/>
    <w:rsid w:val="00027A22"/>
    <w:rsid w:val="00066657"/>
    <w:rsid w:val="000F5B8A"/>
    <w:rsid w:val="0015762D"/>
    <w:rsid w:val="00172120"/>
    <w:rsid w:val="00254CCB"/>
    <w:rsid w:val="00274217"/>
    <w:rsid w:val="00335707"/>
    <w:rsid w:val="003A12C8"/>
    <w:rsid w:val="003C5B6A"/>
    <w:rsid w:val="0046502C"/>
    <w:rsid w:val="004974CA"/>
    <w:rsid w:val="00525BB1"/>
    <w:rsid w:val="005B167F"/>
    <w:rsid w:val="00745544"/>
    <w:rsid w:val="007C5867"/>
    <w:rsid w:val="009528C3"/>
    <w:rsid w:val="009837EB"/>
    <w:rsid w:val="009A19CE"/>
    <w:rsid w:val="00A07F18"/>
    <w:rsid w:val="00A506C9"/>
    <w:rsid w:val="00B510CB"/>
    <w:rsid w:val="00BC4821"/>
    <w:rsid w:val="00C242B2"/>
    <w:rsid w:val="00D30F37"/>
    <w:rsid w:val="00E62B98"/>
    <w:rsid w:val="00E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docId w15:val="{CA38458F-855F-4E95-BE1C-3C5223B7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C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F1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07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F1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7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Heading">
    <w:name w:val="Table - Heading"/>
    <w:rsid w:val="004974CA"/>
    <w:pPr>
      <w:keepNext/>
      <w:tabs>
        <w:tab w:val="left" w:pos="1304"/>
      </w:tabs>
      <w:spacing w:before="240" w:after="240" w:line="180" w:lineRule="exact"/>
    </w:pPr>
    <w:rPr>
      <w:rFonts w:ascii="Arial" w:eastAsia="Times New Roman" w:hAnsi="Arial" w:cs="Times New Roman"/>
      <w:b/>
      <w:color w:val="000000"/>
      <w:kern w:val="28"/>
      <w:sz w:val="18"/>
      <w:szCs w:val="20"/>
    </w:rPr>
  </w:style>
  <w:style w:type="paragraph" w:customStyle="1" w:styleId="Table-Contents">
    <w:name w:val="Table - Contents"/>
    <w:qFormat/>
    <w:rsid w:val="004974CA"/>
    <w:pPr>
      <w:spacing w:before="80" w:after="80" w:line="180" w:lineRule="exact"/>
    </w:pPr>
    <w:rPr>
      <w:rFonts w:ascii="Arial" w:eastAsia="Times New Roman" w:hAnsi="Arial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Environment Agency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Environment Agency User</dc:creator>
  <cp:lastModifiedBy>Douglass, Victoria</cp:lastModifiedBy>
  <cp:revision>2</cp:revision>
  <dcterms:created xsi:type="dcterms:W3CDTF">2016-04-12T11:18:00Z</dcterms:created>
  <dcterms:modified xsi:type="dcterms:W3CDTF">2016-04-12T11:18:00Z</dcterms:modified>
</cp:coreProperties>
</file>